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CA8" w:rsidRDefault="008E6CA8" w:rsidP="008E6CA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#157</w:t>
      </w:r>
      <w:r w:rsidRPr="0046289C">
        <w:rPr>
          <w:rFonts w:ascii="Arial" w:eastAsia="Arial Unicode MS" w:hAnsi="Arial" w:cs="Arial"/>
          <w:b/>
          <w:bCs/>
          <w:sz w:val="24"/>
        </w:rPr>
        <w:tab/>
      </w:r>
      <w:r w:rsidR="00451384" w:rsidRPr="00451384">
        <w:rPr>
          <w:rFonts w:ascii="Arial" w:eastAsia="Arial Unicode MS" w:hAnsi="Arial" w:cs="Arial"/>
          <w:b/>
          <w:bCs/>
          <w:i/>
          <w:sz w:val="28"/>
        </w:rPr>
        <w:t>S2-2307082</w:t>
      </w:r>
    </w:p>
    <w:p w:rsidR="008E6CA8" w:rsidRPr="00927C1B" w:rsidRDefault="008E6CA8" w:rsidP="008E6CA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Berlin, Germany</w:t>
      </w:r>
      <w:r w:rsidRPr="003F17CD">
        <w:rPr>
          <w:rFonts w:ascii="Arial" w:eastAsia="Arial Unicode MS" w:hAnsi="Arial" w:cs="Arial"/>
          <w:b/>
          <w:bCs/>
          <w:sz w:val="24"/>
        </w:rPr>
        <w:t xml:space="preserve">, </w:t>
      </w:r>
      <w:r>
        <w:rPr>
          <w:rFonts w:ascii="Arial" w:eastAsia="Arial Unicode MS" w:hAnsi="Arial" w:cs="Arial"/>
          <w:b/>
          <w:bCs/>
          <w:sz w:val="24"/>
        </w:rPr>
        <w:t>May 22</w:t>
      </w:r>
      <w:r w:rsidRPr="003F17CD">
        <w:rPr>
          <w:rFonts w:ascii="Arial" w:eastAsia="Arial Unicode MS" w:hAnsi="Arial" w:cs="Arial"/>
          <w:b/>
          <w:bCs/>
          <w:sz w:val="24"/>
        </w:rPr>
        <w:t xml:space="preserve"> – </w:t>
      </w:r>
      <w:r>
        <w:rPr>
          <w:rFonts w:ascii="Arial" w:eastAsia="Arial Unicode MS" w:hAnsi="Arial" w:cs="Arial"/>
          <w:b/>
          <w:bCs/>
          <w:sz w:val="24"/>
        </w:rPr>
        <w:t>26</w:t>
      </w:r>
      <w:r w:rsidRPr="003F17CD">
        <w:rPr>
          <w:rFonts w:ascii="Arial" w:eastAsia="Arial Unicode MS" w:hAnsi="Arial" w:cs="Arial"/>
          <w:b/>
          <w:bCs/>
          <w:sz w:val="24"/>
        </w:rPr>
        <w:t>, 2023</w:t>
      </w:r>
      <w:r w:rsidRPr="00927C1B">
        <w:rPr>
          <w:rFonts w:ascii="Arial" w:eastAsia="Arial Unicode MS" w:hAnsi="Arial" w:cs="Arial"/>
          <w:b/>
          <w:bCs/>
        </w:rPr>
        <w:tab/>
      </w:r>
      <w:r>
        <w:rPr>
          <w:rFonts w:ascii="Arial" w:hAnsi="Arial" w:cs="Arial"/>
          <w:b/>
          <w:bCs/>
          <w:color w:val="0000FF"/>
        </w:rPr>
        <w:t>(revision of S2-230</w:t>
      </w:r>
      <w:r w:rsidRPr="00E879AF">
        <w:rPr>
          <w:rFonts w:ascii="Arial" w:hAnsi="Arial" w:cs="Arial"/>
          <w:b/>
          <w:bCs/>
          <w:color w:val="0000FF"/>
        </w:rPr>
        <w:t>xxxx)</w:t>
      </w:r>
    </w:p>
    <w:p w:rsidR="00A24F28" w:rsidRPr="008E6CA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2DB5">
        <w:rPr>
          <w:rFonts w:ascii="Arial" w:hAnsi="Arial" w:cs="Arial"/>
          <w:b/>
        </w:rPr>
        <w:t xml:space="preserve">Discussion </w:t>
      </w:r>
      <w:r w:rsidR="008E6CA8">
        <w:rPr>
          <w:rFonts w:ascii="Arial" w:hAnsi="Arial" w:cs="Arial"/>
          <w:b/>
        </w:rPr>
        <w:t>for QoS Flow Binding</w:t>
      </w:r>
    </w:p>
    <w:p w:rsidR="00A24F28" w:rsidRPr="00451384"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451384">
        <w:rPr>
          <w:rFonts w:ascii="Arial" w:hAnsi="Arial" w:cs="Arial"/>
          <w:b/>
        </w:rPr>
        <w:t>Discussion</w:t>
      </w:r>
    </w:p>
    <w:p w:rsidR="00A24F28" w:rsidRPr="00451384" w:rsidRDefault="00E2205A" w:rsidP="00A24F28">
      <w:pPr>
        <w:ind w:left="2127" w:hanging="2127"/>
        <w:rPr>
          <w:rFonts w:ascii="Arial" w:hAnsi="Arial" w:cs="Arial"/>
          <w:b/>
        </w:rPr>
      </w:pPr>
      <w:r w:rsidRPr="00451384">
        <w:rPr>
          <w:rFonts w:ascii="Arial" w:hAnsi="Arial" w:cs="Arial"/>
          <w:b/>
        </w:rPr>
        <w:t>Agenda Item:</w:t>
      </w:r>
      <w:r w:rsidRPr="00451384">
        <w:rPr>
          <w:rFonts w:ascii="Arial" w:hAnsi="Arial" w:cs="Arial"/>
          <w:b/>
        </w:rPr>
        <w:tab/>
      </w:r>
      <w:r w:rsidR="003F4947">
        <w:rPr>
          <w:rFonts w:ascii="Arial" w:hAnsi="Arial" w:cs="Arial"/>
          <w:b/>
        </w:rPr>
        <w:t>9.12.2</w:t>
      </w:r>
      <w:bookmarkStart w:id="0" w:name="_GoBack"/>
      <w:bookmarkEnd w:id="0"/>
    </w:p>
    <w:p w:rsidR="00A24F28" w:rsidRPr="00451384" w:rsidRDefault="00A24F28" w:rsidP="00A24F28">
      <w:pPr>
        <w:ind w:left="2127" w:hanging="2127"/>
        <w:rPr>
          <w:rFonts w:ascii="Arial" w:hAnsi="Arial" w:cs="Arial"/>
          <w:b/>
        </w:rPr>
      </w:pPr>
      <w:r w:rsidRPr="00451384">
        <w:rPr>
          <w:rFonts w:ascii="Arial" w:hAnsi="Arial" w:cs="Arial"/>
          <w:b/>
        </w:rPr>
        <w:t>Work Item / Release:</w:t>
      </w:r>
      <w:r w:rsidRPr="00451384">
        <w:rPr>
          <w:rFonts w:ascii="Arial" w:hAnsi="Arial" w:cs="Arial"/>
          <w:b/>
        </w:rPr>
        <w:tab/>
      </w:r>
      <w:r w:rsidR="0086664E" w:rsidRPr="00451384">
        <w:rPr>
          <w:rFonts w:ascii="Arial" w:hAnsi="Arial" w:cs="Arial"/>
          <w:b/>
        </w:rPr>
        <w:t>XRM</w:t>
      </w:r>
      <w:r w:rsidR="00E2205A" w:rsidRPr="00451384">
        <w:rPr>
          <w:rFonts w:ascii="Arial" w:hAnsi="Arial" w:cs="Arial"/>
          <w:b/>
        </w:rPr>
        <w:t xml:space="preserve"> / Rel-</w:t>
      </w:r>
      <w:r w:rsidR="006B3C39" w:rsidRPr="00451384">
        <w:rPr>
          <w:rFonts w:ascii="Arial" w:hAnsi="Arial" w:cs="Arial"/>
          <w:b/>
        </w:rPr>
        <w:t>18</w:t>
      </w:r>
    </w:p>
    <w:p w:rsidR="00EF48DB" w:rsidRPr="00927C1B" w:rsidRDefault="00A24F28" w:rsidP="00EC53AC">
      <w:pPr>
        <w:jc w:val="both"/>
        <w:rPr>
          <w:rFonts w:ascii="Arial" w:hAnsi="Arial" w:cs="Arial"/>
          <w:i/>
        </w:rPr>
      </w:pPr>
      <w:r w:rsidRPr="00451384">
        <w:rPr>
          <w:rFonts w:ascii="Arial" w:hAnsi="Arial" w:cs="Arial"/>
          <w:i/>
        </w:rPr>
        <w:t xml:space="preserve">Abstract: </w:t>
      </w:r>
      <w:r w:rsidR="00A72DB5" w:rsidRPr="00451384">
        <w:rPr>
          <w:rFonts w:ascii="Arial" w:hAnsi="Arial" w:cs="Arial"/>
          <w:i/>
          <w:lang w:eastAsia="ko-KR"/>
        </w:rPr>
        <w:t xml:space="preserve">This contribution propose to discuss how to </w:t>
      </w:r>
      <w:r w:rsidR="00A57986" w:rsidRPr="00451384">
        <w:rPr>
          <w:rFonts w:ascii="Arial" w:hAnsi="Arial" w:cs="Arial"/>
          <w:i/>
          <w:lang w:eastAsia="ko-KR"/>
        </w:rPr>
        <w:t>i</w:t>
      </w:r>
      <w:r w:rsidR="00A57986">
        <w:rPr>
          <w:rFonts w:ascii="Arial" w:hAnsi="Arial" w:cs="Arial"/>
          <w:i/>
          <w:lang w:eastAsia="ko-KR"/>
        </w:rPr>
        <w:t>mprove</w:t>
      </w:r>
      <w:r w:rsidR="00A72DB5">
        <w:rPr>
          <w:rFonts w:ascii="Arial" w:hAnsi="Arial" w:cs="Arial"/>
          <w:i/>
          <w:lang w:eastAsia="ko-KR"/>
        </w:rPr>
        <w:t xml:space="preserve"> the current </w:t>
      </w:r>
      <w:r w:rsidR="00A57986" w:rsidRPr="00A57986">
        <w:rPr>
          <w:rFonts w:ascii="Arial" w:hAnsi="Arial" w:cs="Arial"/>
          <w:i/>
          <w:lang w:eastAsia="ko-KR"/>
        </w:rPr>
        <w:t xml:space="preserve">QoS Flow </w:t>
      </w:r>
      <w:r w:rsidR="00A72DB5">
        <w:rPr>
          <w:rFonts w:ascii="Arial" w:hAnsi="Arial" w:cs="Arial"/>
          <w:i/>
          <w:lang w:eastAsia="ko-KR"/>
        </w:rPr>
        <w:t xml:space="preserve">Binding Mechanism </w:t>
      </w:r>
      <w:r w:rsidR="00A57986">
        <w:rPr>
          <w:rFonts w:ascii="Arial" w:hAnsi="Arial" w:cs="Arial"/>
          <w:i/>
          <w:lang w:eastAsia="ko-KR"/>
        </w:rPr>
        <w:t>when</w:t>
      </w:r>
      <w:r w:rsidR="00A72DB5">
        <w:rPr>
          <w:rFonts w:ascii="Arial" w:hAnsi="Arial" w:cs="Arial"/>
          <w:i/>
          <w:lang w:eastAsia="ko-KR"/>
        </w:rPr>
        <w:t xml:space="preserve"> adding new features</w:t>
      </w:r>
      <w:r w:rsidR="00A72DB5" w:rsidRPr="00246A3A">
        <w:rPr>
          <w:rFonts w:ascii="Arial" w:hAnsi="Arial" w:cs="Arial"/>
          <w:i/>
          <w:lang w:eastAsia="ko-KR"/>
        </w:rPr>
        <w:t>.</w:t>
      </w:r>
    </w:p>
    <w:p w:rsidR="00A93620" w:rsidRDefault="00B3593E" w:rsidP="00B3593E">
      <w:pPr>
        <w:pStyle w:val="1"/>
      </w:pPr>
      <w:r w:rsidRPr="00927C1B">
        <w:t xml:space="preserve">1. </w:t>
      </w:r>
      <w:r w:rsidR="00B4739E">
        <w:t>Introduction</w:t>
      </w:r>
    </w:p>
    <w:p w:rsidR="00A72DB5" w:rsidRPr="007D4323" w:rsidRDefault="00A72DB5" w:rsidP="00A72DB5">
      <w:pPr>
        <w:rPr>
          <w:noProof/>
          <w:lang w:val="en-US"/>
        </w:rPr>
      </w:pPr>
      <w:r w:rsidRPr="007D4323">
        <w:rPr>
          <w:noProof/>
        </w:rPr>
        <w:t xml:space="preserve">For the PCC rules with the same 5QI, ARP and other </w:t>
      </w:r>
      <w:r>
        <w:rPr>
          <w:noProof/>
        </w:rPr>
        <w:t xml:space="preserve">current </w:t>
      </w:r>
      <w:r w:rsidRPr="007D4323">
        <w:rPr>
          <w:noProof/>
        </w:rPr>
        <w:t xml:space="preserve">binding parameters will be bound to the same QoS Flow. The RAN node enforce QoS control in QoS Flow granularity. </w:t>
      </w:r>
      <w:r>
        <w:rPr>
          <w:noProof/>
          <w:lang w:val="en-US"/>
        </w:rPr>
        <w:t>However, t</w:t>
      </w:r>
      <w:r>
        <w:rPr>
          <w:noProof/>
        </w:rPr>
        <w:t xml:space="preserve">here are some features impacting current </w:t>
      </w:r>
      <w:r w:rsidR="00A57986">
        <w:rPr>
          <w:rFonts w:eastAsiaTheme="minorEastAsia"/>
          <w:lang w:eastAsia="zh-CN"/>
        </w:rPr>
        <w:t xml:space="preserve">QoS Flow </w:t>
      </w:r>
      <w:r>
        <w:rPr>
          <w:noProof/>
        </w:rPr>
        <w:t xml:space="preserve">Binding Mechansim. </w:t>
      </w:r>
    </w:p>
    <w:p w:rsidR="00A72DB5" w:rsidRDefault="00A72DB5" w:rsidP="00A72DB5">
      <w:pPr>
        <w:rPr>
          <w:noProof/>
        </w:rPr>
      </w:pPr>
      <w:r>
        <w:rPr>
          <w:noProof/>
        </w:rPr>
        <w:t>For example:</w:t>
      </w:r>
    </w:p>
    <w:p w:rsidR="00A72DB5" w:rsidRDefault="00A72DB5" w:rsidP="00A72DB5">
      <w:pPr>
        <w:numPr>
          <w:ilvl w:val="0"/>
          <w:numId w:val="21"/>
        </w:numPr>
        <w:rPr>
          <w:noProof/>
        </w:rPr>
      </w:pPr>
      <w:r>
        <w:rPr>
          <w:noProof/>
        </w:rPr>
        <w:t>Dynamic CN PDB</w:t>
      </w:r>
    </w:p>
    <w:p w:rsidR="00A72DB5" w:rsidRDefault="00A72DB5" w:rsidP="00A72DB5">
      <w:pPr>
        <w:ind w:left="360"/>
        <w:rPr>
          <w:iCs/>
          <w:noProof/>
          <w:lang w:val="en-US"/>
        </w:rPr>
      </w:pPr>
      <w:r>
        <w:rPr>
          <w:noProof/>
        </w:rPr>
        <w:t xml:space="preserve">It is approved during the URLLC discussion as described in clause 5.7.3.4 of TS 23.501 that </w:t>
      </w:r>
      <w:r w:rsidRPr="007D4323">
        <w:rPr>
          <w:i/>
          <w:iCs/>
          <w:noProof/>
          <w:lang w:val="en-US"/>
        </w:rPr>
        <w:t>The delay budget that applies to the radio interface is determined from subtracting the delay between the UPF terminating N6 and the 5G-AN from a given PDB. For certain delay critical GBR QoS Flows, in order to maximize the remaining PDB available for the NG-RAN, a dynamic CN component of the PDB, which represents the delay between the UPF terminating N6 and the 5G-AN, can be used.</w:t>
      </w:r>
    </w:p>
    <w:p w:rsidR="00A72DB5" w:rsidRPr="007D4323" w:rsidRDefault="00A72DB5" w:rsidP="00A72DB5">
      <w:pPr>
        <w:ind w:left="360"/>
        <w:rPr>
          <w:iCs/>
          <w:noProof/>
          <w:lang w:val="en-US"/>
        </w:rPr>
      </w:pPr>
      <w:r>
        <w:rPr>
          <w:iCs/>
          <w:noProof/>
          <w:lang w:val="en-US"/>
        </w:rPr>
        <w:t>T</w:t>
      </w:r>
      <w:r w:rsidRPr="007D4323">
        <w:rPr>
          <w:iCs/>
          <w:noProof/>
          <w:lang w:val="en-US"/>
        </w:rPr>
        <w:t xml:space="preserve">he PDU Session may have several PSA UPFs. The SDFs in one QoS Flow may be transferred in different PSA UPFs. Different PSA UPFs are associated to different PSA-RAN PDBs within the same RAN node. The RAN cannot differentiate the different PSA-RAN PDBs of SDFs in the same QoS Flow. </w:t>
      </w:r>
      <w:r>
        <w:rPr>
          <w:iCs/>
          <w:noProof/>
          <w:lang w:val="en-US"/>
        </w:rPr>
        <w:t>Hence, the SDFs with different CN PDB should be transferred in different QoS Flows. Then it is introduced in the standard that “</w:t>
      </w:r>
      <w:r w:rsidRPr="00A72DB5">
        <w:rPr>
          <w:i/>
        </w:rPr>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r>
        <w:rPr>
          <w:iCs/>
          <w:noProof/>
          <w:lang w:val="en-US"/>
        </w:rPr>
        <w:t>”</w:t>
      </w:r>
      <w:r w:rsidRPr="007D4323">
        <w:rPr>
          <w:iCs/>
          <w:noProof/>
          <w:lang w:val="en-US"/>
        </w:rPr>
        <w:t xml:space="preserve">  </w:t>
      </w:r>
    </w:p>
    <w:p w:rsidR="00A72DB5" w:rsidRDefault="00A72DB5" w:rsidP="00A72DB5">
      <w:pPr>
        <w:numPr>
          <w:ilvl w:val="0"/>
          <w:numId w:val="21"/>
        </w:numPr>
        <w:rPr>
          <w:noProof/>
        </w:rPr>
      </w:pPr>
      <w:r>
        <w:rPr>
          <w:noProof/>
        </w:rPr>
        <w:t>TSCAI</w:t>
      </w:r>
    </w:p>
    <w:p w:rsidR="00A72DB5" w:rsidRDefault="00A72DB5" w:rsidP="00A72DB5">
      <w:pPr>
        <w:ind w:left="360"/>
        <w:rPr>
          <w:noProof/>
        </w:rPr>
      </w:pPr>
      <w:r>
        <w:rPr>
          <w:noProof/>
        </w:rPr>
        <w:t>It is approved in the TSN discussion as described in clause that t</w:t>
      </w:r>
      <w:r w:rsidRPr="00C03DFB">
        <w:rPr>
          <w:noProof/>
        </w:rPr>
        <w:t xml:space="preserve">he </w:t>
      </w:r>
      <w:r w:rsidRPr="00C03DFB">
        <w:rPr>
          <w:i/>
          <w:noProof/>
        </w:rPr>
        <w:t>knowledge of TSN traffic pattern is useful for the gNB to allow it to more efficiently schedule periodic, deterministic traffic flows</w:t>
      </w:r>
      <w:r>
        <w:rPr>
          <w:i/>
          <w:noProof/>
        </w:rPr>
        <w:t>.</w:t>
      </w:r>
      <w:r>
        <w:rPr>
          <w:noProof/>
        </w:rPr>
        <w:t xml:space="preserve"> TSC Assistance Information includes Periodicity, survival time and so on. Thus, the PCC rule with TSCAI shall be bound to an independent QoS Flow. </w:t>
      </w:r>
      <w:r>
        <w:rPr>
          <w:iCs/>
          <w:noProof/>
          <w:lang w:val="en-US"/>
        </w:rPr>
        <w:t>Then it is introduced in the standard that</w:t>
      </w:r>
      <w:r>
        <w:rPr>
          <w:noProof/>
        </w:rPr>
        <w:t xml:space="preserve"> “</w:t>
      </w:r>
      <w:r w:rsidRPr="00A72DB5">
        <w:rPr>
          <w:i/>
        </w:rPr>
        <w:t>when the PCF provisions a PCC rule, and if the PCC rule contains a TSC Assistance Container, the PCC rule is bound to a new QoS Flow and no other PCC rule is bound to this QoS Flow</w:t>
      </w:r>
      <w:r>
        <w:rPr>
          <w:noProof/>
        </w:rPr>
        <w:t>”</w:t>
      </w:r>
    </w:p>
    <w:p w:rsidR="00A72DB5" w:rsidRPr="007D4323" w:rsidRDefault="00A72DB5" w:rsidP="00A72DB5">
      <w:pPr>
        <w:ind w:left="360"/>
        <w:rPr>
          <w:noProof/>
        </w:rPr>
      </w:pPr>
      <w:r>
        <w:rPr>
          <w:noProof/>
        </w:rPr>
        <w:t xml:space="preserve"> </w:t>
      </w:r>
    </w:p>
    <w:p w:rsidR="00A72DB5" w:rsidRDefault="00A72DB5" w:rsidP="00A72DB5">
      <w:pPr>
        <w:numPr>
          <w:ilvl w:val="0"/>
          <w:numId w:val="21"/>
        </w:numPr>
        <w:rPr>
          <w:noProof/>
        </w:rPr>
      </w:pPr>
      <w:r>
        <w:rPr>
          <w:noProof/>
        </w:rPr>
        <w:t xml:space="preserve">PCC rules supporting multiple access types in ATSSS   </w:t>
      </w:r>
    </w:p>
    <w:p w:rsidR="00A72DB5" w:rsidRDefault="00A72DB5" w:rsidP="00A72DB5">
      <w:pPr>
        <w:ind w:left="360"/>
        <w:rPr>
          <w:noProof/>
        </w:rPr>
      </w:pPr>
      <w:r w:rsidRPr="00957C37">
        <w:rPr>
          <w:noProof/>
        </w:rPr>
        <w:t xml:space="preserve">According to the </w:t>
      </w:r>
      <w:r>
        <w:rPr>
          <w:noProof/>
        </w:rPr>
        <w:t>discussion in ATSSS</w:t>
      </w:r>
      <w:r w:rsidRPr="00957C37">
        <w:rPr>
          <w:noProof/>
        </w:rPr>
        <w:t>, one MA PDU Session may have a GBR QoS Flow or a non-GBR QoS Flow. For the GBR QoS Flow, if the GBR QoS Flow allows only one access technology, the SMF only wants the AN to send the QoS Profile. If the two access technologies are allowed, the SMF decides which AN sends the QoS Profile. That is, for GBR QoS Flow, there is only one access technology at a time point</w:t>
      </w:r>
      <w:r>
        <w:rPr>
          <w:noProof/>
        </w:rPr>
        <w:t xml:space="preserve">. Thus </w:t>
      </w:r>
      <w:r>
        <w:rPr>
          <w:iCs/>
          <w:noProof/>
          <w:lang w:val="en-US"/>
        </w:rPr>
        <w:t>it is introduced in the standard that</w:t>
      </w:r>
      <w:r>
        <w:rPr>
          <w:noProof/>
        </w:rPr>
        <w:t xml:space="preserve"> “</w:t>
      </w:r>
      <w:r w:rsidRPr="00A72DB5">
        <w:rPr>
          <w:i/>
        </w:rPr>
        <w:t>For MA PDU Session, PCC rules for GBR or delay critical GBR service data flows allowed on different access are not bound to the same QoS Flow even if the PCC rules contain the same binding parameters.</w:t>
      </w:r>
      <w:r>
        <w:rPr>
          <w:noProof/>
        </w:rPr>
        <w:t>”</w:t>
      </w:r>
    </w:p>
    <w:p w:rsidR="00A72DB5" w:rsidRDefault="00A72DB5" w:rsidP="00A72DB5">
      <w:pPr>
        <w:ind w:left="360"/>
        <w:rPr>
          <w:noProof/>
        </w:rPr>
      </w:pPr>
    </w:p>
    <w:p w:rsidR="00294B58" w:rsidRDefault="00A72DB5" w:rsidP="00A72DB5">
      <w:pPr>
        <w:pStyle w:val="ac"/>
        <w:numPr>
          <w:ilvl w:val="0"/>
          <w:numId w:val="21"/>
        </w:numPr>
      </w:pPr>
      <w:r>
        <w:t>Alternative QoS parameter set</w:t>
      </w:r>
    </w:p>
    <w:p w:rsidR="00A72DB5" w:rsidRDefault="00A72DB5" w:rsidP="00A72DB5">
      <w:pPr>
        <w:pStyle w:val="ac"/>
        <w:ind w:left="360"/>
      </w:pPr>
      <w:r>
        <w:lastRenderedPageBreak/>
        <w:t>It is approved during V2X discussion that PCF may contain Alternative QoS parameter set(s) and other related parameters in one PCC rule. In such case, PCF may generate following PCC rules:</w:t>
      </w:r>
    </w:p>
    <w:p w:rsidR="00A72DB5" w:rsidRDefault="00A72DB5" w:rsidP="00A72DB5">
      <w:pPr>
        <w:pStyle w:val="ac"/>
        <w:ind w:left="360"/>
      </w:pPr>
      <w:r>
        <w:t>PCC rule 1  (1:PDB=10ms) (2:PDB=20ms )</w:t>
      </w:r>
    </w:p>
    <w:p w:rsidR="00A72DB5" w:rsidRDefault="00A72DB5" w:rsidP="00A72DB5">
      <w:pPr>
        <w:pStyle w:val="ac"/>
        <w:ind w:left="360"/>
      </w:pPr>
      <w:r>
        <w:t>PCC rule 2  (PDB=10ms)</w:t>
      </w:r>
    </w:p>
    <w:p w:rsidR="00A72DB5" w:rsidRDefault="00A72DB5" w:rsidP="00A72DB5">
      <w:pPr>
        <w:pStyle w:val="ac"/>
        <w:ind w:left="360"/>
      </w:pPr>
      <w:r>
        <w:t>PCC rule 3  (1:PDB =20ms) (2:PDB=10ms)</w:t>
      </w:r>
    </w:p>
    <w:p w:rsidR="00A72DB5" w:rsidRDefault="00A72DB5" w:rsidP="00A72DB5">
      <w:pPr>
        <w:pStyle w:val="ac"/>
        <w:ind w:left="360"/>
      </w:pPr>
      <w:r>
        <w:t xml:space="preserve">PCC rule 1 and PCC rule 2 will be bound to the same QoS Flow. But the service related to PCC rule 2 does not need a “downgrade”. </w:t>
      </w:r>
    </w:p>
    <w:p w:rsidR="00A72DB5" w:rsidRPr="00A72DB5" w:rsidRDefault="00A72DB5" w:rsidP="00A72DB5">
      <w:pPr>
        <w:pStyle w:val="ac"/>
        <w:ind w:left="360"/>
      </w:pPr>
      <w:r>
        <w:t>PCC rule 1 and PCC rule 3 will be bound to the same QoS Flow. But the service related to PCC rule 1 and the service related to PCC rule 3 have different “downgrade”.</w:t>
      </w:r>
      <w:r w:rsidR="00405CFE">
        <w:t xml:space="preserve"> Thus </w:t>
      </w:r>
      <w:r w:rsidR="00405CFE">
        <w:rPr>
          <w:iCs/>
          <w:noProof/>
          <w:lang w:val="en-US"/>
        </w:rPr>
        <w:t>it is introduced in the standard that “”</w:t>
      </w:r>
    </w:p>
    <w:p w:rsidR="00A72DB5" w:rsidRPr="00405CFE" w:rsidRDefault="00A72DB5" w:rsidP="00A72DB5">
      <w:pPr>
        <w:pStyle w:val="ac"/>
        <w:numPr>
          <w:ilvl w:val="0"/>
          <w:numId w:val="21"/>
        </w:numPr>
      </w:pPr>
      <w:r>
        <w:rPr>
          <w:rFonts w:eastAsiaTheme="minorEastAsia" w:hint="eastAsia"/>
          <w:lang w:eastAsia="zh-CN"/>
        </w:rPr>
        <w:t>Q</w:t>
      </w:r>
      <w:r>
        <w:rPr>
          <w:rFonts w:eastAsiaTheme="minorEastAsia"/>
          <w:lang w:eastAsia="zh-CN"/>
        </w:rPr>
        <w:t>oS Monitoring</w:t>
      </w:r>
    </w:p>
    <w:p w:rsidR="00405CFE" w:rsidRPr="00A72DB5" w:rsidRDefault="00405CFE" w:rsidP="00405CFE">
      <w:pPr>
        <w:pStyle w:val="ac"/>
        <w:ind w:left="360"/>
      </w:pPr>
      <w:r>
        <w:rPr>
          <w:rFonts w:eastAsiaTheme="minorEastAsia"/>
          <w:lang w:eastAsia="zh-CN"/>
        </w:rPr>
        <w:t xml:space="preserve">QoS Monotoring is for an application thus </w:t>
      </w:r>
      <w:r>
        <w:rPr>
          <w:iCs/>
          <w:noProof/>
          <w:lang w:val="en-US"/>
        </w:rPr>
        <w:t>it is introduced in the standard that “</w:t>
      </w:r>
      <w:r w:rsidR="008E6CA8">
        <w:t>When the PCF provisions a PCC rule with QoS Monitoring Policy, the PCC rule is bound to a new QoS Flow and no other PCC rules is bound to this QoS Flow.</w:t>
      </w:r>
      <w:r>
        <w:rPr>
          <w:iCs/>
          <w:noProof/>
          <w:lang w:val="en-US"/>
        </w:rPr>
        <w:t>”</w:t>
      </w:r>
      <w:r>
        <w:rPr>
          <w:rFonts w:eastAsiaTheme="minorEastAsia"/>
          <w:lang w:eastAsia="zh-CN"/>
        </w:rPr>
        <w:t xml:space="preserve">  </w:t>
      </w:r>
    </w:p>
    <w:p w:rsidR="008E6CA8" w:rsidRPr="008E6CA8" w:rsidRDefault="00A72DB5" w:rsidP="008E6CA8">
      <w:pPr>
        <w:pStyle w:val="ac"/>
        <w:numPr>
          <w:ilvl w:val="0"/>
          <w:numId w:val="21"/>
        </w:numPr>
      </w:pPr>
      <w:r>
        <w:rPr>
          <w:rFonts w:eastAsiaTheme="minorEastAsia"/>
          <w:lang w:eastAsia="zh-CN"/>
        </w:rPr>
        <w:t xml:space="preserve">Other aspects on-going (e.g. XRM) </w:t>
      </w:r>
      <w:r w:rsidR="008E6CA8">
        <w:rPr>
          <w:rFonts w:eastAsiaTheme="minorEastAsia"/>
          <w:lang w:eastAsia="zh-CN"/>
        </w:rPr>
        <w:t>…</w:t>
      </w:r>
    </w:p>
    <w:p w:rsidR="008E6CA8" w:rsidRPr="008E6CA8" w:rsidRDefault="008E6CA8" w:rsidP="008E6CA8">
      <w:pPr>
        <w:rPr>
          <w:rFonts w:eastAsiaTheme="minorEastAsia"/>
          <w:lang w:eastAsia="zh-CN"/>
        </w:rPr>
      </w:pPr>
      <w:r>
        <w:rPr>
          <w:rFonts w:eastAsiaTheme="minorEastAsia" w:hint="eastAsia"/>
          <w:lang w:eastAsia="zh-CN"/>
        </w:rPr>
        <w:t>I</w:t>
      </w:r>
      <w:r>
        <w:rPr>
          <w:rFonts w:eastAsiaTheme="minorEastAsia"/>
          <w:lang w:eastAsia="zh-CN"/>
        </w:rPr>
        <w:t>t is expected that more and more features will have impact on the QoS Flow binding.</w:t>
      </w:r>
    </w:p>
    <w:p w:rsidR="0076782A" w:rsidRDefault="00F261CF" w:rsidP="00F261CF">
      <w:pPr>
        <w:pStyle w:val="1"/>
        <w:rPr>
          <w:lang w:eastAsia="zh-CN"/>
        </w:rPr>
      </w:pPr>
      <w:r>
        <w:rPr>
          <w:lang w:eastAsia="zh-CN"/>
        </w:rPr>
        <w:t>2. Discussion</w:t>
      </w:r>
    </w:p>
    <w:p w:rsidR="008E6CA8" w:rsidRPr="007B7F2A" w:rsidRDefault="008E6CA8" w:rsidP="008E6CA8">
      <w:pPr>
        <w:rPr>
          <w:b/>
          <w:lang w:val="en-US"/>
        </w:rPr>
      </w:pPr>
      <w:r>
        <w:t xml:space="preserve">There are basically two approaches to support </w:t>
      </w:r>
      <w:r w:rsidR="00A57986">
        <w:t>new</w:t>
      </w:r>
      <w:r>
        <w:t xml:space="preserve"> features </w:t>
      </w:r>
      <w:r w:rsidR="00A57986">
        <w:t xml:space="preserve">that have an </w:t>
      </w:r>
      <w:r>
        <w:t>impact</w:t>
      </w:r>
      <w:r w:rsidR="00A57986">
        <w:t xml:space="preserve"> on the</w:t>
      </w:r>
      <w:r>
        <w:t xml:space="preserve"> </w:t>
      </w:r>
      <w:r w:rsidR="00A57986">
        <w:rPr>
          <w:rFonts w:eastAsiaTheme="minorEastAsia"/>
          <w:lang w:eastAsia="zh-CN"/>
        </w:rPr>
        <w:t xml:space="preserve">QoS Flow </w:t>
      </w:r>
      <w:r>
        <w:t>binding mechanism.</w:t>
      </w:r>
    </w:p>
    <w:p w:rsidR="008E6CA8" w:rsidRPr="009F0094" w:rsidRDefault="008E6CA8" w:rsidP="008E6CA8">
      <w:pPr>
        <w:rPr>
          <w:rFonts w:eastAsia="宋体"/>
          <w:b/>
          <w:lang w:eastAsia="zh-CN"/>
        </w:rPr>
      </w:pPr>
      <w:r>
        <w:rPr>
          <w:b/>
        </w:rPr>
        <w:t>Approach</w:t>
      </w:r>
      <w:r w:rsidRPr="009A3BF6">
        <w:rPr>
          <w:b/>
        </w:rPr>
        <w:t xml:space="preserve"> </w:t>
      </w:r>
      <w:r>
        <w:rPr>
          <w:b/>
        </w:rPr>
        <w:t>1</w:t>
      </w:r>
      <w:r w:rsidRPr="009F0094">
        <w:rPr>
          <w:rFonts w:eastAsia="宋体" w:hint="eastAsia"/>
          <w:b/>
          <w:lang w:eastAsia="zh-CN"/>
        </w:rPr>
        <w:t>:</w:t>
      </w:r>
      <w:r w:rsidRPr="009F0094">
        <w:rPr>
          <w:rFonts w:eastAsia="宋体"/>
          <w:b/>
          <w:lang w:eastAsia="zh-CN"/>
        </w:rPr>
        <w:t xml:space="preserve"> </w:t>
      </w:r>
      <w:r>
        <w:rPr>
          <w:rFonts w:eastAsia="宋体"/>
          <w:b/>
          <w:lang w:eastAsia="zh-CN"/>
        </w:rPr>
        <w:t xml:space="preserve">Add more </w:t>
      </w:r>
      <w:r w:rsidR="00A57986" w:rsidRPr="00A57986">
        <w:rPr>
          <w:rFonts w:eastAsia="宋体"/>
          <w:b/>
          <w:lang w:eastAsia="zh-CN"/>
        </w:rPr>
        <w:t xml:space="preserve">feature specific binding conditions </w:t>
      </w:r>
    </w:p>
    <w:p w:rsidR="008E6CA8" w:rsidRDefault="00A57986" w:rsidP="008E6CA8">
      <w:pPr>
        <w:pStyle w:val="B1"/>
        <w:ind w:left="0" w:firstLine="0"/>
        <w:rPr>
          <w:lang w:eastAsia="zh-CN"/>
        </w:rPr>
      </w:pPr>
      <w:r>
        <w:rPr>
          <w:lang w:eastAsia="zh-CN"/>
        </w:rPr>
        <w:t xml:space="preserve">The binding functionality in the SMF becomes more and more complex and has to be updated with every new feature. </w:t>
      </w:r>
      <w:r w:rsidR="008E6CA8">
        <w:rPr>
          <w:lang w:eastAsia="zh-CN"/>
        </w:rPr>
        <w:t xml:space="preserve"> </w:t>
      </w:r>
    </w:p>
    <w:p w:rsidR="008E6CA8" w:rsidRPr="00676551" w:rsidRDefault="008E6CA8" w:rsidP="008E6CA8">
      <w:r>
        <w:rPr>
          <w:rFonts w:eastAsia="宋体"/>
          <w:b/>
          <w:lang w:eastAsia="zh-CN"/>
        </w:rPr>
        <w:t>Approach</w:t>
      </w:r>
      <w:r w:rsidRPr="00676551">
        <w:rPr>
          <w:rFonts w:eastAsia="宋体"/>
          <w:b/>
          <w:lang w:eastAsia="zh-CN"/>
        </w:rPr>
        <w:t xml:space="preserve"> 2</w:t>
      </w:r>
      <w:r w:rsidRPr="00676551">
        <w:rPr>
          <w:rFonts w:eastAsia="宋体" w:hint="eastAsia"/>
          <w:b/>
          <w:lang w:eastAsia="zh-CN"/>
        </w:rPr>
        <w:t>:</w:t>
      </w:r>
      <w:r w:rsidRPr="00676551">
        <w:rPr>
          <w:rFonts w:eastAsia="宋体"/>
          <w:b/>
          <w:lang w:eastAsia="zh-CN"/>
        </w:rPr>
        <w:t xml:space="preserve"> </w:t>
      </w:r>
      <w:r>
        <w:rPr>
          <w:rFonts w:eastAsia="宋体"/>
          <w:b/>
          <w:lang w:eastAsia="zh-CN"/>
        </w:rPr>
        <w:t>Add an indication to show the PCC rule demand</w:t>
      </w:r>
      <w:r w:rsidR="00A57986">
        <w:rPr>
          <w:rFonts w:eastAsia="宋体"/>
          <w:b/>
          <w:lang w:eastAsia="zh-CN"/>
        </w:rPr>
        <w:t xml:space="preserve"> for</w:t>
      </w:r>
      <w:r>
        <w:rPr>
          <w:rFonts w:eastAsia="宋体"/>
          <w:b/>
          <w:lang w:eastAsia="zh-CN"/>
        </w:rPr>
        <w:t xml:space="preserve"> an independent QoS Flow</w:t>
      </w:r>
    </w:p>
    <w:p w:rsidR="008E6CA8" w:rsidRDefault="008E6CA8" w:rsidP="008E6CA8">
      <w:r>
        <w:t xml:space="preserve">PCF </w:t>
      </w:r>
      <w:r w:rsidR="00A57986">
        <w:t>can be configured with the knowledge about</w:t>
      </w:r>
      <w:r>
        <w:t xml:space="preserve"> whether the </w:t>
      </w:r>
      <w:r w:rsidR="00A57986">
        <w:t>service data flow</w:t>
      </w:r>
      <w:r>
        <w:t xml:space="preserve"> needs </w:t>
      </w:r>
      <w:r w:rsidR="00A57986">
        <w:t xml:space="preserve">to be </w:t>
      </w:r>
      <w:r>
        <w:t xml:space="preserve">treated in a special way (i.e. </w:t>
      </w:r>
      <w:r w:rsidR="00A57986">
        <w:t>separated</w:t>
      </w:r>
      <w:r>
        <w:t xml:space="preserve"> from other </w:t>
      </w:r>
      <w:r w:rsidR="00A57986">
        <w:t>service data flows</w:t>
      </w:r>
      <w:r>
        <w:t xml:space="preserve">). If so, the PCF adds an indication in the PCC rule. If there is such an indication in a PCC rule, the SMF will bind it to an independent QoS Flow </w:t>
      </w:r>
      <w:r w:rsidRPr="003B35D8">
        <w:rPr>
          <w:rFonts w:eastAsia="宋体" w:hint="eastAsia"/>
          <w:lang w:eastAsia="zh-CN"/>
        </w:rPr>
        <w:t>(</w:t>
      </w:r>
      <w:r w:rsidRPr="003B35D8">
        <w:rPr>
          <w:rFonts w:eastAsia="宋体"/>
          <w:lang w:eastAsia="zh-CN"/>
        </w:rPr>
        <w:t xml:space="preserve">i.e. no other PCC rules </w:t>
      </w:r>
      <w:r w:rsidR="00A57986">
        <w:rPr>
          <w:rFonts w:eastAsia="宋体"/>
          <w:lang w:eastAsia="zh-CN"/>
        </w:rPr>
        <w:t>are bound to</w:t>
      </w:r>
      <w:r w:rsidRPr="003B35D8">
        <w:rPr>
          <w:rFonts w:eastAsia="宋体"/>
          <w:lang w:eastAsia="zh-CN"/>
        </w:rPr>
        <w:t xml:space="preserve"> this QoS Flow</w:t>
      </w:r>
      <w:r w:rsidRPr="003B35D8">
        <w:rPr>
          <w:rFonts w:eastAsia="宋体" w:hint="eastAsia"/>
          <w:lang w:eastAsia="zh-CN"/>
        </w:rPr>
        <w:t>)</w:t>
      </w:r>
      <w:r>
        <w:t>.</w:t>
      </w:r>
    </w:p>
    <w:p w:rsidR="008E6CA8" w:rsidRPr="00F302F4" w:rsidRDefault="008E6CA8" w:rsidP="008E6CA8">
      <w:pPr>
        <w:rPr>
          <w:rFonts w:eastAsia="宋体"/>
          <w:lang w:eastAsia="zh-CN"/>
        </w:rPr>
      </w:pPr>
    </w:p>
    <w:p w:rsidR="008E6CA8" w:rsidRPr="008E6CA8" w:rsidRDefault="008E6CA8" w:rsidP="008E6CA8">
      <w:pPr>
        <w:rPr>
          <w:rFonts w:eastAsia="MS Mincho"/>
          <w:b/>
        </w:rPr>
      </w:pPr>
      <w:r>
        <w:rPr>
          <w:b/>
        </w:rPr>
        <w:t>C</w:t>
      </w:r>
      <w:r w:rsidRPr="008E6CA8">
        <w:rPr>
          <w:b/>
        </w:rPr>
        <w:t>omparison</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4005"/>
        <w:gridCol w:w="4389"/>
      </w:tblGrid>
      <w:tr w:rsidR="008E6CA8" w:rsidTr="00557D08">
        <w:tc>
          <w:tcPr>
            <w:tcW w:w="1242" w:type="dxa"/>
            <w:shd w:val="clear" w:color="auto" w:fill="auto"/>
          </w:tcPr>
          <w:p w:rsidR="008E6CA8" w:rsidRDefault="008E6CA8" w:rsidP="00557D08">
            <w:r>
              <w:t>Approach</w:t>
            </w:r>
          </w:p>
        </w:tc>
        <w:tc>
          <w:tcPr>
            <w:tcW w:w="4111" w:type="dxa"/>
            <w:shd w:val="clear" w:color="auto" w:fill="auto"/>
          </w:tcPr>
          <w:p w:rsidR="008E6CA8" w:rsidRDefault="008E6CA8" w:rsidP="00557D08">
            <w:r>
              <w:t>Advantage</w:t>
            </w:r>
          </w:p>
        </w:tc>
        <w:tc>
          <w:tcPr>
            <w:tcW w:w="4501" w:type="dxa"/>
            <w:shd w:val="clear" w:color="auto" w:fill="auto"/>
          </w:tcPr>
          <w:p w:rsidR="008E6CA8" w:rsidRDefault="008E6CA8" w:rsidP="00557D08">
            <w:r>
              <w:t>Disadvantage</w:t>
            </w:r>
          </w:p>
        </w:tc>
      </w:tr>
      <w:tr w:rsidR="008E6CA8" w:rsidTr="00557D08">
        <w:tc>
          <w:tcPr>
            <w:tcW w:w="1242" w:type="dxa"/>
            <w:shd w:val="clear" w:color="auto" w:fill="auto"/>
          </w:tcPr>
          <w:p w:rsidR="008E6CA8" w:rsidRDefault="008E6CA8" w:rsidP="00557D08">
            <w:r>
              <w:t>1</w:t>
            </w:r>
          </w:p>
        </w:tc>
        <w:tc>
          <w:tcPr>
            <w:tcW w:w="4111" w:type="dxa"/>
            <w:shd w:val="clear" w:color="auto" w:fill="auto"/>
          </w:tcPr>
          <w:p w:rsidR="008E6CA8" w:rsidRDefault="008E6CA8" w:rsidP="0086664E">
            <w:r>
              <w:t xml:space="preserve">Each new </w:t>
            </w:r>
            <w:r w:rsidR="0086664E">
              <w:t>conditions</w:t>
            </w:r>
            <w:r>
              <w:t xml:space="preserve"> has a specific meaning</w:t>
            </w:r>
            <w:r w:rsidR="0086664E">
              <w:t xml:space="preserve"> for a feature</w:t>
            </w:r>
            <w:r>
              <w:t>.</w:t>
            </w:r>
          </w:p>
        </w:tc>
        <w:tc>
          <w:tcPr>
            <w:tcW w:w="4501" w:type="dxa"/>
            <w:shd w:val="clear" w:color="auto" w:fill="auto"/>
          </w:tcPr>
          <w:p w:rsidR="008E6CA8" w:rsidRDefault="008E6CA8" w:rsidP="00557D08">
            <w:r>
              <w:t>Not cover all the scenarios.</w:t>
            </w:r>
          </w:p>
          <w:p w:rsidR="008E6CA8" w:rsidRDefault="008E6CA8" w:rsidP="00557D08">
            <w:r>
              <w:t xml:space="preserve">Needs more </w:t>
            </w:r>
            <w:r w:rsidR="0086664E">
              <w:t>condition</w:t>
            </w:r>
            <w:r>
              <w:t xml:space="preserve">s if there are more impacting features. The QoS Flow binding will become more and more complex. </w:t>
            </w:r>
          </w:p>
          <w:p w:rsidR="008E6CA8" w:rsidRDefault="008E6CA8" w:rsidP="00557D08">
            <w:r>
              <w:t>Unfriendly to legacy entities.</w:t>
            </w:r>
          </w:p>
        </w:tc>
      </w:tr>
      <w:tr w:rsidR="008E6CA8" w:rsidTr="00557D08">
        <w:tc>
          <w:tcPr>
            <w:tcW w:w="1242" w:type="dxa"/>
            <w:shd w:val="clear" w:color="auto" w:fill="auto"/>
          </w:tcPr>
          <w:p w:rsidR="008E6CA8" w:rsidRDefault="008E6CA8" w:rsidP="00557D08">
            <w:r>
              <w:t>2</w:t>
            </w:r>
          </w:p>
        </w:tc>
        <w:tc>
          <w:tcPr>
            <w:tcW w:w="4111" w:type="dxa"/>
            <w:shd w:val="clear" w:color="auto" w:fill="auto"/>
          </w:tcPr>
          <w:p w:rsidR="008E6CA8" w:rsidRDefault="008E6CA8" w:rsidP="0086664E">
            <w:r>
              <w:t>Simple solution. No need to add more</w:t>
            </w:r>
            <w:r w:rsidR="0086664E">
              <w:t xml:space="preserve"> conditions</w:t>
            </w:r>
            <w:r>
              <w:t xml:space="preserve">. </w:t>
            </w:r>
          </w:p>
        </w:tc>
        <w:tc>
          <w:tcPr>
            <w:tcW w:w="4501" w:type="dxa"/>
            <w:shd w:val="clear" w:color="auto" w:fill="auto"/>
          </w:tcPr>
          <w:p w:rsidR="008E6CA8" w:rsidRDefault="008E6CA8" w:rsidP="00557D08">
            <w:r>
              <w:t>/</w:t>
            </w:r>
          </w:p>
        </w:tc>
      </w:tr>
    </w:tbl>
    <w:p w:rsidR="00214A95" w:rsidRPr="00772D92" w:rsidRDefault="00214A95" w:rsidP="00294B58">
      <w:pPr>
        <w:rPr>
          <w:lang w:eastAsia="zh-CN"/>
        </w:rPr>
      </w:pPr>
    </w:p>
    <w:p w:rsidR="008F0B57" w:rsidRDefault="00AB1E11" w:rsidP="00636B44">
      <w:pPr>
        <w:pStyle w:val="1"/>
        <w:rPr>
          <w:lang w:eastAsia="zh-CN"/>
        </w:rPr>
      </w:pPr>
      <w:r>
        <w:rPr>
          <w:lang w:eastAsia="zh-CN"/>
        </w:rPr>
        <w:t>3. Conclusion and proposal</w:t>
      </w:r>
    </w:p>
    <w:p w:rsidR="008E6CA8" w:rsidRPr="00E81649" w:rsidRDefault="008E6CA8" w:rsidP="008E6CA8">
      <w:r>
        <w:t xml:space="preserve">Approach 2 is preferred. It is proposed to </w:t>
      </w:r>
      <w:r w:rsidR="00A57986">
        <w:t xml:space="preserve">agree </w:t>
      </w:r>
      <w:r w:rsidR="00451384" w:rsidRPr="00451384">
        <w:t>S2-2307083</w:t>
      </w:r>
      <w:r>
        <w:t>.</w:t>
      </w:r>
    </w:p>
    <w:p w:rsidR="00294B58" w:rsidRPr="0086664E" w:rsidRDefault="00294B58" w:rsidP="00294B58">
      <w:pPr>
        <w:rPr>
          <w:rFonts w:eastAsiaTheme="minorEastAsia"/>
          <w:lang w:eastAsia="zh-CN"/>
        </w:rPr>
      </w:pPr>
    </w:p>
    <w:sectPr w:rsidR="00294B58" w:rsidRPr="0086664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0383" w:rsidRDefault="004E0383">
      <w:r>
        <w:separator/>
      </w:r>
    </w:p>
    <w:p w:rsidR="004E0383" w:rsidRDefault="004E0383"/>
  </w:endnote>
  <w:endnote w:type="continuationSeparator" w:id="0">
    <w:p w:rsidR="004E0383" w:rsidRDefault="004E0383">
      <w:r>
        <w:continuationSeparator/>
      </w:r>
    </w:p>
    <w:p w:rsidR="004E0383" w:rsidRDefault="004E0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0383" w:rsidRDefault="004E0383">
      <w:r>
        <w:separator/>
      </w:r>
    </w:p>
    <w:p w:rsidR="004E0383" w:rsidRDefault="004E0383"/>
  </w:footnote>
  <w:footnote w:type="continuationSeparator" w:id="0">
    <w:p w:rsidR="004E0383" w:rsidRDefault="004E0383">
      <w:r>
        <w:continuationSeparator/>
      </w:r>
    </w:p>
    <w:p w:rsidR="004E0383" w:rsidRDefault="004E03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4E0383">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5B46B6"/>
    <w:multiLevelType w:val="hybridMultilevel"/>
    <w:tmpl w:val="1CF0809C"/>
    <w:lvl w:ilvl="0" w:tplc="591291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9"/>
  </w:num>
  <w:num w:numId="7">
    <w:abstractNumId w:val="6"/>
  </w:num>
  <w:num w:numId="8">
    <w:abstractNumId w:val="10"/>
  </w:num>
  <w:num w:numId="9">
    <w:abstractNumId w:val="17"/>
  </w:num>
  <w:num w:numId="10">
    <w:abstractNumId w:val="20"/>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 w:numId="21">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003D"/>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494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CFE"/>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1384"/>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0383"/>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4ED9"/>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664E"/>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3BE"/>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6CA8"/>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57986"/>
    <w:rsid w:val="00A60363"/>
    <w:rsid w:val="00A61063"/>
    <w:rsid w:val="00A62702"/>
    <w:rsid w:val="00A62ECF"/>
    <w:rsid w:val="00A63160"/>
    <w:rsid w:val="00A643FF"/>
    <w:rsid w:val="00A64C7B"/>
    <w:rsid w:val="00A65A7D"/>
    <w:rsid w:val="00A66AAC"/>
    <w:rsid w:val="00A66AFD"/>
    <w:rsid w:val="00A67645"/>
    <w:rsid w:val="00A72DB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C3CD395-612F-4703-9437-66CBAC68B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801</Words>
  <Characters>4566</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3</cp:revision>
  <cp:lastPrinted>2018-08-13T16:59:00Z</cp:lastPrinted>
  <dcterms:created xsi:type="dcterms:W3CDTF">2023-05-12T15:34:00Z</dcterms:created>
  <dcterms:modified xsi:type="dcterms:W3CDTF">2023-05-12T15:34:00Z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(3)eTLbOzgZuHk2IXAkB3yuVRajxxqgcwf6/0bHpwB8Q6g1dlaW99aLY+wDcrvH6l94lxw1SSXN
h9gFKra/iDfj6T1dng/E5oaKZGKf/nLKnMNUNdT2/wi4fJo7qFXF8M5NDQY7DH6s49E3YMd3
WLhQVp9DphM/fvRNBTMdStmvQWCCrTZfOse79DAkgJnhiKE0Z3RRwMXpMKA1/eHtNpP6lwrO
1R4VOheSMv1T5ecb90</vt:lpwstr>
  </property>
  <property fmtid="{D5CDD505-2E9C-101B-9397-08002B2CF9AE}" pid="9" name="_2015_ms_pID_7253431">
    <vt:lpwstr>pUrbA6dq2hiN/edSp3CiiDuBdEN7OsqPIyRJ2Hw/q7Ru7PwUUlLyJd
IPvk9dUue82XSGahu9oirh5EP2ktorW5nRBs1JGIoCc7VIYw6fwXEeQZpzpep9TdlJydWNUz
YhPBykdT6L1jSD0t6ludarzAHQ1KSS1P2ZK0ryzpmbZsTYc1bLsGSjtRoC1pppmaK7QtWQ5q
8Hvn1eYfU9R8yI50EAmkDIdnWqlLUwc0+dFY</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